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A0C4FD" w14:textId="77777777" w:rsidR="00CB0412" w:rsidRPr="00CB0412" w:rsidRDefault="00CB0412" w:rsidP="00CB0412">
      <w:pPr>
        <w:shd w:val="clear" w:color="auto" w:fill="FFFFFF"/>
        <w:spacing w:before="75" w:after="300" w:line="270" w:lineRule="atLeast"/>
        <w:jc w:val="center"/>
        <w:rPr>
          <w:rFonts w:ascii="Cambria" w:eastAsia="Times New Roman" w:hAnsi="Cambria" w:cs="Times New Roman"/>
          <w:b/>
          <w:bCs/>
          <w:i/>
          <w:iCs/>
          <w:color w:val="000000"/>
          <w:sz w:val="42"/>
          <w:szCs w:val="42"/>
        </w:rPr>
      </w:pPr>
      <w:r w:rsidRPr="00CB0412">
        <w:rPr>
          <w:rFonts w:ascii="Cambria" w:eastAsia="Times New Roman" w:hAnsi="Cambria" w:cs="Times New Roman"/>
          <w:b/>
          <w:bCs/>
          <w:i/>
          <w:iCs/>
          <w:color w:val="000000"/>
          <w:sz w:val="42"/>
          <w:szCs w:val="42"/>
        </w:rPr>
        <w:t>CHAPTER THREE</w:t>
      </w:r>
    </w:p>
    <w:p w14:paraId="18B1D8F5" w14:textId="77777777" w:rsidR="00CB0412" w:rsidRPr="00CB0412" w:rsidRDefault="00CB0412" w:rsidP="00CB0412">
      <w:pPr>
        <w:shd w:val="clear" w:color="auto" w:fill="FFFFFF"/>
        <w:spacing w:before="75" w:after="720" w:line="270" w:lineRule="atLeast"/>
        <w:jc w:val="center"/>
        <w:rPr>
          <w:rFonts w:ascii="Cambria" w:eastAsia="Times New Roman" w:hAnsi="Cambria" w:cs="Times New Roman"/>
          <w:b/>
          <w:bCs/>
          <w:i/>
          <w:iCs/>
          <w:color w:val="000000"/>
          <w:sz w:val="42"/>
          <w:szCs w:val="42"/>
        </w:rPr>
      </w:pPr>
      <w:r w:rsidRPr="00CB0412">
        <w:rPr>
          <w:rFonts w:ascii="Cambria" w:eastAsia="Times New Roman" w:hAnsi="Cambria" w:cs="Times New Roman"/>
          <w:b/>
          <w:bCs/>
          <w:i/>
          <w:iCs/>
          <w:color w:val="000000"/>
          <w:sz w:val="42"/>
          <w:szCs w:val="42"/>
        </w:rPr>
        <w:t>Economic Life</w:t>
      </w:r>
    </w:p>
    <w:p w14:paraId="79DCE792" w14:textId="77777777" w:rsidR="00CB0412" w:rsidRPr="00CB0412" w:rsidRDefault="00CB0412" w:rsidP="00CB0412">
      <w:pPr>
        <w:shd w:val="clear" w:color="auto" w:fill="FFFFFF"/>
        <w:spacing w:after="240" w:line="240" w:lineRule="auto"/>
        <w:rPr>
          <w:rFonts w:ascii="Cambria" w:eastAsia="Times New Roman" w:hAnsi="Cambria" w:cs="Times New Roman"/>
          <w:color w:val="000000"/>
          <w:sz w:val="24"/>
          <w:szCs w:val="24"/>
        </w:rPr>
      </w:pPr>
      <w:r w:rsidRPr="00CB0412">
        <w:rPr>
          <w:rFonts w:ascii="Cambria" w:eastAsia="Times New Roman" w:hAnsi="Cambria" w:cs="Times New Roman"/>
          <w:color w:val="000000"/>
          <w:sz w:val="24"/>
          <w:szCs w:val="24"/>
        </w:rPr>
        <w:t>Drawing boundaries between economic issues and other realms of life may be difficult and in some cases artificial. As we saw in chapter 2, inmany of the world’s cultures the family or household group was (and is) the primary unit of production and trade, growing crops or makingdifferent types of items together and then using and selling them; ownership and control of land and other forms of wealth was also a familyventure. In even more of the world’s cultures, families have been the primary units of consumption, with the majority of goods and servicespurchased for the use of the whole household rather than a single individual. Economic life was also tied to religious, political, andeducational institutions, which we will be examining in later chapters: religious institutions often owned large amounts of land andconsumed significant amounts of goods and services; a person’s or family’s economic status was often more dependent on access to royal ornoble favors than on anything we would recognize as labor; schooling in most – though not all – cultures was designed to improve one’s andone’s family’s economic well-being.</w:t>
      </w:r>
    </w:p>
    <w:p w14:paraId="2AACD190" w14:textId="77777777" w:rsidR="00CB0412" w:rsidRPr="00CB0412" w:rsidRDefault="00CB0412" w:rsidP="00CB0412">
      <w:pPr>
        <w:shd w:val="clear" w:color="auto" w:fill="FFFFFF"/>
        <w:spacing w:after="240" w:line="240" w:lineRule="auto"/>
        <w:ind w:firstLine="240"/>
        <w:rPr>
          <w:rFonts w:ascii="Cambria" w:eastAsia="Times New Roman" w:hAnsi="Cambria" w:cs="Times New Roman"/>
          <w:color w:val="000000"/>
          <w:sz w:val="24"/>
          <w:szCs w:val="24"/>
        </w:rPr>
      </w:pPr>
      <w:r w:rsidRPr="00CB0412">
        <w:rPr>
          <w:rFonts w:ascii="Cambria" w:eastAsia="Times New Roman" w:hAnsi="Cambria" w:cs="Times New Roman"/>
          <w:color w:val="000000"/>
          <w:sz w:val="24"/>
          <w:szCs w:val="24"/>
        </w:rPr>
        <w:t>Recent scholarship on economic matters has stressed these links to other areas of life, and has also drawn attention to how “economic” isdefined. Traditional studies of the economy focused primarily on production, and even the broadest usually viewed four activities – work,trade, ownership, and consumption – as the defining aspects of economic life; they are, after all, what governments tax, through income taxes,tariffs, property taxes, and sales taxes. Newer research suggests that even this broad view misses activities that have a tremendous economicimpact, however. To be accurate and inclusive, an analysis of economic life in any period should include reproductive as well as productiveactivities; reproduction means not simply childbearing, but the care and nurturing of all household members, activities that allowed them totake part in production or trade. This is especially true for preindustrial or nonindustrial societies in which labor for sustenance or for themarket often went on in the household itself, with all family members taking part in both productive and reproductive labor.</w:t>
      </w:r>
    </w:p>
    <w:p w14:paraId="42F04F2A" w14:textId="77777777" w:rsidR="00CB0412" w:rsidRPr="00CB0412" w:rsidRDefault="00CB0412" w:rsidP="00CB0412">
      <w:pPr>
        <w:shd w:val="clear" w:color="auto" w:fill="FFFFFF"/>
        <w:spacing w:after="240" w:line="240" w:lineRule="auto"/>
        <w:ind w:firstLine="240"/>
        <w:rPr>
          <w:rFonts w:ascii="Cambria" w:eastAsia="Times New Roman" w:hAnsi="Cambria" w:cs="Times New Roman"/>
          <w:color w:val="000000"/>
          <w:sz w:val="24"/>
          <w:szCs w:val="24"/>
        </w:rPr>
      </w:pPr>
      <w:r w:rsidRPr="00CB0412">
        <w:rPr>
          <w:rFonts w:ascii="Cambria" w:eastAsia="Times New Roman" w:hAnsi="Cambria" w:cs="Times New Roman"/>
          <w:color w:val="000000"/>
          <w:sz w:val="24"/>
          <w:szCs w:val="24"/>
        </w:rPr>
        <w:t>Some of this broadening of the definition of “economic” has come from feminist analysis, which has made it clear that economic conceptsare highly gendered. In many cultures, men’s tasks have been defined as “work” while women’s have been defined as “assisting,” “helping out,”or “housework.” Some tasks generally done by women, such as the care and nurturing of household members, have not been regarded as“work” at all, though they would be considered “work” if they were done for pay by individuals who came from outside the domestic group.Because of this, women’s activities were (and are) not counted in various statistical measurements such as the gross national product, andwomen were viewed as not contributing to economic development. Even when women’s activities were regarded as work, they weregenerally not valued as highly as the tasks normally done by men, though they migh</w:t>
      </w:r>
      <w:r w:rsidRPr="00CB0412">
        <w:rPr>
          <w:rFonts w:ascii="Cambria" w:eastAsia="Times New Roman" w:hAnsi="Cambria" w:cs="Times New Roman"/>
          <w:color w:val="000000"/>
          <w:sz w:val="24"/>
          <w:szCs w:val="24"/>
        </w:rPr>
        <w:lastRenderedPageBreak/>
        <w:t>t have taken the same amount of time, skill, and effort.Thus economic life was profoundly shaped by notions of gender, and in most of the world’s cultures sharp distinctions were drawn betweenmen’s work (which might be thought of simply as “work”) and women’s work. In some societies these distinctions were so strong thatindividuals who were morphologically male but who did tasks normally assigned to females were regarded as members of a third gender, anissue we will analyze more fully in chapter 8. These gender distinctions in work were accompanied by and related to gender distinctions inother segments of the economy, for women rarely had the same access to land, cash, or other types of wealth as did the men of their family orsocial group. Together with their lower wages, this lessened their ability to purchase goods or services.</w:t>
      </w:r>
    </w:p>
    <w:p w14:paraId="1819CD89" w14:textId="77777777" w:rsidR="00CB0412" w:rsidRPr="00CB0412" w:rsidRDefault="00CB0412" w:rsidP="00CB0412">
      <w:pPr>
        <w:shd w:val="clear" w:color="auto" w:fill="FFFFFF"/>
        <w:spacing w:after="240" w:line="240" w:lineRule="auto"/>
        <w:ind w:firstLine="240"/>
        <w:rPr>
          <w:rFonts w:ascii="Cambria" w:eastAsia="Times New Roman" w:hAnsi="Cambria" w:cs="Times New Roman"/>
          <w:color w:val="000000"/>
          <w:sz w:val="24"/>
          <w:szCs w:val="24"/>
        </w:rPr>
      </w:pPr>
      <w:r w:rsidRPr="00CB0412">
        <w:rPr>
          <w:rFonts w:ascii="Cambria" w:eastAsia="Times New Roman" w:hAnsi="Cambria" w:cs="Times New Roman"/>
          <w:color w:val="000000"/>
          <w:sz w:val="24"/>
          <w:szCs w:val="24"/>
        </w:rPr>
        <w:t>Gender hierarchies in the division of labor and other aspects of economic life were present in many of the world’s earliest civilizations, andthey have survived massive changes. New occupations have tended to be valued – and paid – according to whether they were done primarilyby men or women. This has begun to change within the last several decades in some parts of the world, but, precisely because the economy isso linked to other realms, it is clear that changes in economic structures – and in the meaning of those structures – will continue to shape andbe shaped by gender.</w:t>
      </w:r>
    </w:p>
    <w:p w14:paraId="30EEBAFD" w14:textId="77777777" w:rsidR="0033598E" w:rsidRDefault="0033598E">
      <w:bookmarkStart w:id="0" w:name="_GoBack"/>
      <w:bookmarkEnd w:id="0"/>
    </w:p>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12"/>
    <w:rsid w:val="0033598E"/>
    <w:rsid w:val="00640500"/>
    <w:rsid w:val="00CB0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B291"/>
  <w15:chartTrackingRefBased/>
  <w15:docId w15:val="{E2AC70A4-8F51-44E3-9CB4-7CB89EC9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CB04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title">
    <w:name w:val="chaptertitle"/>
    <w:basedOn w:val="Normal"/>
    <w:rsid w:val="00CB04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CB0412"/>
  </w:style>
  <w:style w:type="paragraph" w:customStyle="1" w:styleId="chaptersubtitle">
    <w:name w:val="chaptersubtitle"/>
    <w:basedOn w:val="Normal"/>
    <w:rsid w:val="00CB04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aftertitle">
    <w:name w:val="paraaftertitle"/>
    <w:basedOn w:val="Normal"/>
    <w:rsid w:val="00CB04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CB04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2018-07-07T23:33:00Z</dcterms:created>
  <dcterms:modified xsi:type="dcterms:W3CDTF">2018-07-07T23:33:00Z</dcterms:modified>
</cp:coreProperties>
</file>